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subrangos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Pagrindinis rangovas)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Subrangovas), kartu vadinami Šalimis.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objektas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kurį Subrangovas įsipareigoja atlikti pagal Pagrindinio rangovo užsakymą.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ji būtų anksčiau nutraukta 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Pagrindinis rangovas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Subrangovas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Pagrindinis rangovas sumokės Subrangovui už atliktus darbus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pagal šią tvarką: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Subrangovas įsipareigoja atlikti darbus laikydamasis visų galiojančių teisės aktų, standartų ir Pagrindinio rangovo reikalavimų. Pagrindinis rangovas turi teisę tikrinti atliktų darbų kokybę.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šios Sutarties, bus sprendžiami derybomis. Jei derybos nepavyks, ginčai bus sprendžiami Lietuvos Respublikos teisme pagal Pagrindinio rangovo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Bet kokie šios Sutarties pakeitimai turi būti raštiški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gali būti nutraukta: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įsigalioja nuo abiejų Šalių parašų.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