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partnerystės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toliau kartu vadinami „Šalimis“.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tikslas yra nustatyti bendradarbiavimo sąlygas ir teises bei pareigas, susijusias 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Partneris 1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Partneris 2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Partneriai susitaria, kad finansinės sąlygos bus tokios: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nebent ji bus nutraukta anksčiau pagal šioje Sutartyje numatytas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gali būti nutraukta šiais atvejais: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ginčai, kylantys iš šios Sutarties, bus sprendžiami derybų būdu. Jei derybos nepavyks, ginčai bus sprendžiami Lietuvos Respublikos teisme pagal galiojančius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sudaryta dviem egzemplioriais, po vieną kiekvienai Šaliai. Sutartis gali būti keičiamas tik raštišku abiejų Šalių sutikimu.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Partneris 1: 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Partneris 2: 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