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civilinė paslaugų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Paslaugų teikėjas)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MB vadovas).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Paslaugų teikėjas įsipareigoja teikti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paslaugas MB vadovui, o MB vadovas įsipareigoja už šias paslaugas sumokėti nustatytą atlyginimą.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ji būtų nutraukta anksčiau pagal šioje Sutartyje numatytas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MB vadovas įsipareigoja sumokėti Paslaugų teikėjui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už suteiktas paslaugas. Atlyginimas bus mokamas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po paslaugų suteikimo.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Paslaugų teikėjas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Gauti visą informaciją, reikalingą paslaugų teikimui;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Reikalauti atlyginimo už suteiktas paslaugas pagal šios Sutarties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Paslaugų teikėjas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Teikti paslaugas profesionaliai ir laiku;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Informuoti MB vadovą apie bet kokius pasikeitimus, susijusius su paslaugų teikimu.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MB vadovas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Gauti paslaugas pagal Sutarties sąlygas;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Reikalauti, kad Paslaugų teikėjas laikytųsi Sutarties sąlygų.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MB vadovas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Laiku sumokėti atlyginimą;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Teikti Paslaugų teikėjui visą reikiamą informaciją paslaugoms teikti.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gali būti nutraukta: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Abiejų šalių susitarimu;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Paslaugų teikėjo iniciatyva, jei MB vadovas nevykdo savo įsipareigojimų;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MB vadovo iniciatyva, jei Paslaugų teikėjas nevykdo savo įsipareigojimų.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sudaryta dviem egzemplioriais, po vieną kiekvienai šaliai. Sutartis gali būti keičiama tik raštišku abiejų šalių sutikimu.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Šiai Sutarčiai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Paslaugų teikėjo atstovo parašas: 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MB vadovo parašas: 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