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ListNumber"/>
      </w:pPr>
      <w:r>
        <w:rPr>
          <w:rFonts w:ascii="Rubik Regular" w:hAnsi="Rubik Regular"/>
          <w:sz w:val="24"/>
        </w:rPr>
        <w:t>Įvadas</w:t>
      </w:r>
    </w:p>
    <w:p>
      <w:pPr>
        <w:spacing w:line="360" w:lineRule="auto"/>
      </w:pPr>
      <w:r>
        <w:rPr>
          <w:rFonts w:ascii="Rubik Regular" w:hAnsi="Rubik Regular"/>
          <w:sz w:val="24"/>
        </w:rPr>
        <w:t>Šis dokumentas pateikia suminės darbo laiko apskaitos pavyzdį, kuris gali būti naudojamas kaip šablonas darbuotojų darbo laiko registravimui. Suminė darbo laiko apskaita leidžia lankstiau organizuoti darbo laiką, atsižvelgiant į darbo pobūdį ir įmonės veiklos specifiką.</w:t>
      </w:r>
    </w:p>
    <w:p>
      <w:pPr>
        <w:pStyle w:val="ListNumber"/>
      </w:pPr>
      <w:r>
        <w:rPr>
          <w:rFonts w:ascii="Rubik Regular" w:hAnsi="Rubik Regular"/>
          <w:sz w:val="24"/>
        </w:rPr>
        <w:t>Dokumento tikslas</w:t>
      </w:r>
    </w:p>
    <w:p>
      <w:pPr>
        <w:spacing w:line="360" w:lineRule="auto"/>
      </w:pPr>
      <w:r>
        <w:rPr>
          <w:rFonts w:ascii="Rubik Regular" w:hAnsi="Rubik Regular"/>
          <w:sz w:val="24"/>
        </w:rPr>
        <w:t>Šio šablono tikslas yra padėti įmonėms efektyviai registruoti ir apskaičiuoti darbuotojų darbo laiką, užtikrinant, kad būtų laikomasi teisinių reikalavimų ir vidinių politikų.</w:t>
      </w:r>
    </w:p>
    <w:p>
      <w:pPr>
        <w:pStyle w:val="ListNumber"/>
      </w:pPr>
      <w:r>
        <w:rPr>
          <w:rFonts w:ascii="Rubik Regular" w:hAnsi="Rubik Regular"/>
          <w:sz w:val="24"/>
        </w:rPr>
        <w:t>Suminės darbo laiko apskaitos principai</w:t>
      </w:r>
    </w:p>
    <w:p>
      <w:pPr>
        <w:jc w:val="left"/>
      </w:pPr>
      <w:r>
        <w:rPr>
          <w:rFonts w:ascii="Rubik Bold" w:hAnsi="Rubik Bold"/>
          <w:b/>
          <w:color w:val="2F5496"/>
          <w:sz w:val="28"/>
        </w:rPr>
        <w:t>Suminė darbo laiko apskaita remiasi šiais principais:</w:t>
      </w:r>
    </w:p>
    <w:p>
      <w:pPr>
        <w:pStyle w:val="ListBullet"/>
      </w:pPr>
      <w:r>
        <w:rPr>
          <w:rFonts w:ascii="Rubik Regular" w:hAnsi="Rubik Regular"/>
          <w:sz w:val="24"/>
        </w:rPr>
        <w:t>Darbo laikas gali būti fiksuojamas skirtingais laikotarpiais (savaitėmis, mėnesiais);</w:t>
      </w:r>
    </w:p>
    <w:p>
      <w:pPr>
        <w:pStyle w:val="ListBullet"/>
      </w:pPr>
      <w:r>
        <w:rPr>
          <w:rFonts w:ascii="Rubik Regular" w:hAnsi="Rubik Regular"/>
          <w:sz w:val="24"/>
        </w:rPr>
        <w:t>Darbo valandos gali būti derinamos su poilsio dienomis;</w:t>
      </w:r>
    </w:p>
    <w:p>
      <w:pPr>
        <w:pStyle w:val="ListBullet"/>
      </w:pPr>
      <w:r>
        <w:rPr>
          <w:rFonts w:ascii="Rubik Regular" w:hAnsi="Rubik Regular"/>
          <w:sz w:val="24"/>
        </w:rPr>
        <w:t>Darbuotojams turi būti užtikrinta teisė į minimalų poilsio laiką.</w:t>
      </w:r>
    </w:p>
    <w:p>
      <w:pPr>
        <w:pStyle w:val="ListNumber"/>
      </w:pPr>
      <w:r>
        <w:rPr>
          <w:rFonts w:ascii="Rubik Regular" w:hAnsi="Rubik Regular"/>
          <w:sz w:val="24"/>
        </w:rPr>
        <w:t>Pavyzdinė darbo laiko apskaitos forma</w:t>
      </w:r>
    </w:p>
    <w:p>
      <w:pPr>
        <w:jc w:val="left"/>
      </w:pPr>
      <w:r>
        <w:rPr>
          <w:rFonts w:ascii="Rubik Bold" w:hAnsi="Rubik Bold"/>
          <w:b/>
          <w:color w:val="2F5496"/>
          <w:sz w:val="28"/>
        </w:rPr>
        <w:t>Žemiau pateikiama pavyzdinė forma, kurią galima naudoti suminės darbo laiko apskaitai:</w:t>
      </w:r>
    </w:p>
    <w:p>
      <w:pPr>
        <w:spacing w:line="360" w:lineRule="auto"/>
      </w:pPr>
      <w:r>
        <w:rPr>
          <w:rFonts w:ascii="Rubik Regular" w:hAnsi="Rubik Regular"/>
          <w:sz w:val="24"/>
        </w:rPr>
        <w:t>4.1. Darbuotojo informacija</w:t>
      </w:r>
    </w:p>
    <w:p>
      <w:pPr>
        <w:jc w:val="left"/>
      </w:pPr>
      <w:r>
        <w:rPr>
          <w:rFonts w:ascii="Rubik Bold" w:hAnsi="Rubik Bold"/>
          <w:b/>
          <w:color w:val="2F5496"/>
          <w:sz w:val="28"/>
        </w:rPr>
        <w:t>Vardas:</w:t>
      </w:r>
    </w:p>
    <w:p>
      <w:pPr>
        <w:jc w:val="left"/>
      </w:pPr>
      <w:r>
        <w:rPr>
          <w:rFonts w:ascii="Rubik Bold" w:hAnsi="Rubik Bold"/>
          <w:b/>
          <w:color w:val="2F5496"/>
          <w:sz w:val="28"/>
        </w:rPr>
        <w:t>Pavardė:</w:t>
      </w:r>
    </w:p>
    <w:p>
      <w:pPr>
        <w:jc w:val="left"/>
      </w:pPr>
      <w:r>
        <w:rPr>
          <w:rFonts w:ascii="Rubik Bold" w:hAnsi="Rubik Bold"/>
          <w:b/>
          <w:color w:val="2F5496"/>
          <w:sz w:val="28"/>
        </w:rPr>
        <w:t>Darbo pozicija:</w:t>
      </w:r>
    </w:p>
    <w:p>
      <w:pPr>
        <w:spacing w:line="360" w:lineRule="auto"/>
      </w:pPr>
      <w:r>
        <w:rPr>
          <w:rFonts w:ascii="Rubik Regular" w:hAnsi="Rubik Regular"/>
          <w:sz w:val="24"/>
        </w:rPr>
        <w:t>4.2. Darbo laiko registracija</w:t>
      </w:r>
    </w:p>
    <w:p>
      <w:pPr>
        <w:jc w:val="left"/>
      </w:pPr>
      <w:r>
        <w:rPr>
          <w:rFonts w:ascii="Rubik Bold" w:hAnsi="Rubik Bold"/>
          <w:b/>
          <w:color w:val="2F5496"/>
          <w:sz w:val="28"/>
        </w:rPr>
        <w:t>Data:</w:t>
      </w:r>
    </w:p>
    <w:p>
      <w:pPr>
        <w:jc w:val="left"/>
      </w:pPr>
      <w:r>
        <w:rPr>
          <w:rFonts w:ascii="Rubik Bold" w:hAnsi="Rubik Bold"/>
          <w:b/>
          <w:color w:val="2F5496"/>
          <w:sz w:val="28"/>
        </w:rPr>
        <w:t>Pradžios laikas:</w:t>
      </w:r>
    </w:p>
    <w:p>
      <w:pPr>
        <w:jc w:val="left"/>
      </w:pPr>
      <w:r>
        <w:rPr>
          <w:rFonts w:ascii="Rubik Bold" w:hAnsi="Rubik Bold"/>
          <w:b/>
          <w:color w:val="2F5496"/>
          <w:sz w:val="28"/>
        </w:rPr>
        <w:t>Pabaigos laikas:</w:t>
      </w:r>
    </w:p>
    <w:p>
      <w:pPr>
        <w:jc w:val="left"/>
      </w:pPr>
      <w:r>
        <w:rPr>
          <w:rFonts w:ascii="Rubik Bold" w:hAnsi="Rubik Bold"/>
          <w:b/>
          <w:color w:val="2F5496"/>
          <w:sz w:val="28"/>
        </w:rPr>
        <w:t>Darbo valandų skaičius:</w:t>
      </w:r>
    </w:p>
    <w:p>
      <w:pPr>
        <w:spacing w:line="360" w:lineRule="auto"/>
      </w:pPr>
      <w:r>
        <w:rPr>
          <w:rFonts w:ascii="Rubik Regular" w:hAnsi="Rubik Regular"/>
          <w:sz w:val="24"/>
        </w:rPr>
        <w:t>4.3. Poilsio laikotarpiai</w:t>
      </w:r>
    </w:p>
    <w:p>
      <w:pPr>
        <w:jc w:val="left"/>
      </w:pPr>
      <w:r>
        <w:rPr>
          <w:rFonts w:ascii="Rubik Bold" w:hAnsi="Rubik Bold"/>
          <w:b/>
          <w:color w:val="2F5496"/>
          <w:sz w:val="28"/>
        </w:rPr>
        <w:t>Poilsio pradžios laikas:</w:t>
      </w:r>
    </w:p>
    <w:p>
      <w:pPr>
        <w:jc w:val="left"/>
      </w:pPr>
      <w:r>
        <w:rPr>
          <w:rFonts w:ascii="Rubik Bold" w:hAnsi="Rubik Bold"/>
          <w:b/>
          <w:color w:val="2F5496"/>
          <w:sz w:val="28"/>
        </w:rPr>
        <w:t>Poilsio pabaigos laikas:</w:t>
      </w:r>
    </w:p>
    <w:p>
      <w:pPr>
        <w:pStyle w:val="ListNumber"/>
      </w:pPr>
      <w:r>
        <w:rPr>
          <w:rFonts w:ascii="Rubik Regular" w:hAnsi="Rubik Regular"/>
          <w:sz w:val="24"/>
        </w:rPr>
        <w:t>Apskaičiavimai</w:t>
      </w:r>
    </w:p>
    <w:p>
      <w:pPr>
        <w:jc w:val="left"/>
      </w:pPr>
      <w:r>
        <w:rPr>
          <w:rFonts w:ascii="Rubik Bold" w:hAnsi="Rubik Bold"/>
          <w:b/>
          <w:color w:val="2F5496"/>
          <w:sz w:val="28"/>
        </w:rPr>
        <w:t>Darbo valandų suma:</w:t>
      </w:r>
    </w:p>
    <w:p>
      <w:pPr>
        <w:jc w:val="left"/>
      </w:pPr>
      <w:r>
        <w:rPr>
          <w:rFonts w:ascii="Rubik Bold" w:hAnsi="Rubik Bold"/>
          <w:b/>
          <w:color w:val="2F5496"/>
          <w:sz w:val="28"/>
        </w:rPr>
        <w:t>Atlyginimas už darbo valandas:</w:t>
      </w:r>
    </w:p>
    <w:p>
      <w:pPr>
        <w:jc w:val="left"/>
      </w:pPr>
      <w:r>
        <w:rPr>
          <w:rFonts w:ascii="Rubik Bold" w:hAnsi="Rubik Bold"/>
          <w:b/>
          <w:color w:val="2F5496"/>
          <w:sz w:val="28"/>
        </w:rPr>
        <w:t>Bendras atlyginimas:</w:t>
      </w:r>
    </w:p>
    <w:p>
      <w:pPr>
        <w:pStyle w:val="ListNumber"/>
      </w:pPr>
      <w:r>
        <w:rPr>
          <w:rFonts w:ascii="Rubik Regular" w:hAnsi="Rubik Regular"/>
          <w:sz w:val="24"/>
        </w:rPr>
        <w:t>Išvados</w:t>
      </w:r>
    </w:p>
    <w:p>
      <w:pPr>
        <w:spacing w:line="360" w:lineRule="auto"/>
      </w:pPr>
      <w:r>
        <w:rPr>
          <w:rFonts w:ascii="Rubik Regular" w:hAnsi="Rubik Regular"/>
          <w:sz w:val="24"/>
        </w:rPr>
        <w:t>Suminė darbo laiko apskaita yra efektyvus būdas organizuoti darbuotojų darbo laiką, leidžiantis įmonėms geriau planuoti išteklius ir užtikrinti darbuotojų teisių laikymąsi. Naudojant šį šabloną, įmonės gali lengviau registruoti ir analizuoti darbo laiką, taip prisidedant prie efektyvesnio veiklos valdymo.</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