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Kursinio darbo pavyzdys</w:t>
      </w:r>
    </w:p>
    <w:p>
      <w:pPr>
        <w:pStyle w:val="ListNumber"/>
      </w:pPr>
      <w:r>
        <w:rPr>
          <w:rFonts w:ascii="Rubik Regular" w:hAnsi="Rubik Regular"/>
          <w:sz w:val="24"/>
        </w:rPr>
        <w:t>Įvadas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Šiame kursiniame darbe bus nagrinėjama . Darbo tikslas – .</w:t>
      </w:r>
    </w:p>
    <w:p>
      <w:pPr>
        <w:pStyle w:val="ListNumber"/>
      </w:pPr>
      <w:r>
        <w:rPr>
          <w:rFonts w:ascii="Rubik Regular" w:hAnsi="Rubik Regular"/>
          <w:sz w:val="24"/>
        </w:rPr>
        <w:t>Teorinė dalis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Teorinėje dalyje bus aptariami , kurie yra svarbūs šios temos supratimui.</w:t>
      </w:r>
    </w:p>
    <w:p>
      <w:pPr>
        <w:pStyle w:val="ListNumber"/>
      </w:pPr>
      <w:r>
        <w:rPr>
          <w:rFonts w:ascii="Rubik Regular" w:hAnsi="Rubik Regular"/>
          <w:sz w:val="24"/>
        </w:rPr>
        <w:t>Praktinė dalis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Praktinėje dalyje bus analizuojami , kurie iliustruoja teorinius aspektus.</w:t>
      </w:r>
    </w:p>
    <w:p>
      <w:pPr>
        <w:pStyle w:val="ListNumber"/>
      </w:pPr>
      <w:r>
        <w:rPr>
          <w:rFonts w:ascii="Rubik Regular" w:hAnsi="Rubik Regular"/>
          <w:sz w:val="24"/>
        </w:rPr>
        <w:t>Išvados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Remiantis atliktu tyrimu, galima teigti, kad .</w:t>
      </w:r>
    </w:p>
    <w:p>
      <w:pPr>
        <w:pStyle w:val="ListNumber"/>
      </w:pPr>
      <w:r>
        <w:rPr>
          <w:rFonts w:ascii="Rubik Regular" w:hAnsi="Rubik Regular"/>
          <w:sz w:val="24"/>
        </w:rPr>
        <w:t>Literatūra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Naudota literatūra: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, ,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, , 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