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Įmonės vidaus darbo tvarkos taisyklės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Šios įmonės vidaus darbo tvarkos taisyklės (toliau – Taisyklės) nustato darbuotojų teises, pareigas ir atsakomybę, taip pat darbo organizavimo ir elgesio normas įmonėje. Taisyklės taikomos visiems įmonės darbuotojams, nepriklausomai nuo jų pareigų ar darbo pobūdžio.</w:t>
      </w:r>
    </w:p>
    <w:p>
      <w:pPr>
        <w:pStyle w:val="ListNumber"/>
      </w:pPr>
      <w:r>
        <w:rPr>
          <w:rFonts w:ascii="Rubik Regular" w:hAnsi="Rubik Regular"/>
          <w:sz w:val="24"/>
        </w:rPr>
        <w:t>Darbo laikas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Darbo laikas įmonėje yra nuo  iki ,  dienas per savaitę. Visi darbuotojai privalo laikytis nustatyto darbo laiko ir atvykti į darbą laiku.</w:t>
      </w:r>
    </w:p>
    <w:p>
      <w:pPr>
        <w:pStyle w:val="ListNumber"/>
      </w:pPr>
      <w:r>
        <w:rPr>
          <w:rFonts w:ascii="Rubik Regular" w:hAnsi="Rubik Regular"/>
          <w:sz w:val="24"/>
        </w:rPr>
        <w:t>Atostogos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Darbuotojai turi teisę į kasmetines atostogas, kurių trukmė yra  dienos. Atostogų grafikas sudaromas kiekvienais metais iki . Darbuotojai privalo pateikti prašymą dėl atostogų ne vėliau kaip  prieš planuojamas atostogas.</w:t>
      </w:r>
    </w:p>
    <w:p>
      <w:pPr>
        <w:pStyle w:val="ListNumber"/>
      </w:pPr>
      <w:r>
        <w:rPr>
          <w:rFonts w:ascii="Rubik Regular" w:hAnsi="Rubik Regular"/>
          <w:sz w:val="24"/>
        </w:rPr>
        <w:t>Darbuotojų pareigos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Visi darbuotojai privalo: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laikytis įmonės vidaus tvarkos taisyklių;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vykdyti savo pareigas sąžiningai ir atsakingai;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gerbti kolegų ir vadovų nuomonę;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informuoti vadovybę apie bet kokius pažeidimus ar problemas, susijusias su darbu.</w:t>
      </w:r>
    </w:p>
    <w:p>
      <w:pPr>
        <w:pStyle w:val="ListNumber"/>
      </w:pPr>
      <w:r>
        <w:rPr>
          <w:rFonts w:ascii="Rubik Regular" w:hAnsi="Rubik Regular"/>
          <w:sz w:val="24"/>
        </w:rPr>
        <w:t>Elgesio normos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Darbuotojai privalo elgtis mandagiai ir pagarbiai tiek tarpusavyje, tiek su klientais. Bet koks diskriminavimas, priekabiavimas ar smurtas yra griežtai draudžiamas ir gali lemti drausmines nuobaudas.</w:t>
      </w:r>
    </w:p>
    <w:p>
      <w:pPr>
        <w:pStyle w:val="ListNumber"/>
      </w:pPr>
      <w:r>
        <w:rPr>
          <w:rFonts w:ascii="Rubik Regular" w:hAnsi="Rubik Regular"/>
          <w:sz w:val="24"/>
        </w:rPr>
        <w:t>Drausminės nuobaudos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Už Taisyklių pažeidimus darbuotojams gali būti taikomos šios drausminės nuobaudos: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įspėjimas;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griežtas įspėjimas;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atlyginimo sumažinimas;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darbo sutarties nutraukimas.</w:t>
      </w:r>
    </w:p>
    <w:p>
      <w:pPr>
        <w:pStyle w:val="ListNumber"/>
      </w:pPr>
      <w:r>
        <w:rPr>
          <w:rFonts w:ascii="Rubik Regular" w:hAnsi="Rubik Regular"/>
          <w:sz w:val="24"/>
        </w:rPr>
        <w:t>Atsakomybė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Darbuotojai atsako už savo veiksmus ir sprendimus, susijusius su darbo funkcijomis. Bet kokie nuostoliai, padaryti dėl Taisyklių pažeidimų, gali būti atlyginami iš darbuotojo atlyginimo.</w:t>
      </w:r>
    </w:p>
    <w:p>
      <w:pPr>
        <w:pStyle w:val="ListNumber"/>
      </w:pPr>
      <w:r>
        <w:rPr>
          <w:rFonts w:ascii="Rubik Regular" w:hAnsi="Rubik Regular"/>
          <w:sz w:val="24"/>
        </w:rPr>
        <w:t>Taisyklių keitimas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Taisyklės gali būti keičiamos ir papildomos tik raštišku įmonės vadovo sprendimu. Visi darbuotojai bus informuoti apie Taisyklių pakeitimus ne vėliau kaip per  dienas po jų priėmimo.</w:t>
      </w:r>
    </w:p>
    <w:p>
      <w:pPr>
        <w:pStyle w:val="ListNumber"/>
      </w:pPr>
      <w:r>
        <w:rPr>
          <w:rFonts w:ascii="Rubik Regular" w:hAnsi="Rubik Regular"/>
          <w:sz w:val="24"/>
        </w:rPr>
        <w:t>Galiojimas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Šios Taisyklės įsigalioja nuo  ir galioja tol, kol bus priimti nauji Taisyklės pakeitimai.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Paskutiniai pasirašymai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Šias Taisykles patvirtino: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, , 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