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Rubik Regular" w:hAnsi="Rubik Regular"/>
          <w:sz w:val="24"/>
        </w:rPr>
        <w:t>Darbo apmokėjimo sistema</w:t>
      </w:r>
    </w:p>
    <w:p>
      <w:pPr>
        <w:spacing w:line="360" w:lineRule="auto"/>
      </w:pPr>
      <w:r>
        <w:rPr>
          <w:rFonts w:ascii="Rubik Regular" w:hAnsi="Rubik Regular"/>
          <w:sz w:val="24"/>
        </w:rPr>
        <w:t>Šiame dokumente pateikiamas darbo apmokėjimo sistemos pavyzdys, kuris gali būti pritaikytas įvairiose organizacijose. Apmokėjimo sistema yra esminė kiekvienos įmonės dalis, nes ji užtikrina teisingą darbuotojų atlyginimą ir skatina efektyvumą.</w:t>
      </w:r>
    </w:p>
    <w:p>
      <w:pPr>
        <w:pStyle w:val="ListNumber"/>
      </w:pPr>
      <w:r>
        <w:rPr>
          <w:rFonts w:ascii="Rubik Regular" w:hAnsi="Rubik Regular"/>
          <w:sz w:val="24"/>
        </w:rPr>
        <w:t>Apmokėjimo struktūra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Apmokėjimo struktūra turėtų apimti šiuos komponentus:</w:t>
      </w:r>
    </w:p>
    <w:p>
      <w:pPr>
        <w:pStyle w:val="ListBullet"/>
      </w:pPr>
      <w:r>
        <w:rPr>
          <w:rFonts w:ascii="Rubik Regular" w:hAnsi="Rubik Regular"/>
          <w:sz w:val="24"/>
        </w:rPr>
        <w:t>: tai yra darbuotojo bazinis atlyginimas, kuris nustatomas pagal jo pareigas ir patirtį.</w:t>
      </w:r>
    </w:p>
    <w:p>
      <w:pPr>
        <w:pStyle w:val="ListBullet"/>
      </w:pPr>
      <w:r>
        <w:rPr>
          <w:rFonts w:ascii="Rubik Regular" w:hAnsi="Rubik Regular"/>
          <w:sz w:val="24"/>
        </w:rPr>
        <w:t>: papildomi mokėjimai, kurie gali būti skiriami už pasiektus rezultatus, viršijančius nustatytus tikslus.</w:t>
      </w:r>
    </w:p>
    <w:p>
      <w:pPr>
        <w:pStyle w:val="ListBullet"/>
      </w:pPr>
      <w:r>
        <w:rPr>
          <w:rFonts w:ascii="Rubik Regular" w:hAnsi="Rubik Regular"/>
          <w:sz w:val="24"/>
        </w:rPr>
        <w:t>: vienkartiniai mokėjimai, kurie gali būti skiriami už ypatingus pasiekimus ar projektų užbaigimą.</w:t>
      </w:r>
    </w:p>
    <w:p>
      <w:pPr>
        <w:pStyle w:val="ListNumber"/>
      </w:pPr>
      <w:r>
        <w:rPr>
          <w:rFonts w:ascii="Rubik Regular" w:hAnsi="Rubik Regular"/>
          <w:sz w:val="24"/>
        </w:rPr>
        <w:t>Atlyginimų apskaičiavimas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Atlyginimų apskaičiavimas turėtų būti atliekamas remiantis šiais principais:</w:t>
      </w:r>
    </w:p>
    <w:p>
      <w:pPr>
        <w:pStyle w:val="ListBullet"/>
      </w:pPr>
      <w:r>
        <w:rPr>
          <w:rFonts w:ascii="Rubik Regular" w:hAnsi="Rubik Regular"/>
          <w:sz w:val="24"/>
        </w:rPr>
        <w:t>: nustatykite, kiek valandų darbuotojas dirbo per mėnesį.</w:t>
      </w:r>
    </w:p>
    <w:p>
      <w:pPr>
        <w:pStyle w:val="ListBullet"/>
      </w:pPr>
      <w:r>
        <w:rPr>
          <w:rFonts w:ascii="Rubik Regular" w:hAnsi="Rubik Regular"/>
          <w:sz w:val="24"/>
        </w:rPr>
        <w:t>: nustatykite darbuotojo valandinį tarifą, kuris gali skirtis priklausomai nuo jo pozicijos.</w:t>
      </w:r>
    </w:p>
    <w:p>
      <w:pPr>
        <w:pStyle w:val="ListBullet"/>
      </w:pPr>
      <w:r>
        <w:rPr>
          <w:rFonts w:ascii="Rubik Regular" w:hAnsi="Rubik Regular"/>
          <w:sz w:val="24"/>
        </w:rPr>
        <w:t>: pasirinkite apmokėjimo metodą (pvz., banko pavedimas, grynaisiais pinigais).</w:t>
      </w:r>
    </w:p>
    <w:p>
      <w:pPr>
        <w:pStyle w:val="ListNumber"/>
      </w:pPr>
      <w:r>
        <w:rPr>
          <w:rFonts w:ascii="Rubik Regular" w:hAnsi="Rubik Regular"/>
          <w:sz w:val="24"/>
        </w:rPr>
        <w:t>Mokesčių ir įmokų apskaičiavimas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Darbo apmokėjimo sistemoje būtina atsižvelgti į mokesčius ir socialines įmokas:</w:t>
      </w:r>
    </w:p>
    <w:p>
      <w:pPr>
        <w:pStyle w:val="ListBullet"/>
      </w:pPr>
      <w:r>
        <w:rPr>
          <w:rFonts w:ascii="Rubik Regular" w:hAnsi="Rubik Regular"/>
          <w:sz w:val="24"/>
        </w:rPr>
        <w:t>: apskaičiuokite pajamų mokesčio sumą, kuri turi būti išskaičiuota iš darbuotojo atlyginimo.</w:t>
      </w:r>
    </w:p>
    <w:p>
      <w:pPr>
        <w:pStyle w:val="ListBullet"/>
      </w:pPr>
      <w:r>
        <w:rPr>
          <w:rFonts w:ascii="Rubik Regular" w:hAnsi="Rubik Regular"/>
          <w:sz w:val="24"/>
        </w:rPr>
        <w:t>: nustatykite socialinio draudimo įmokų sumą, kurią reikia sumokėti.</w:t>
      </w:r>
    </w:p>
    <w:p>
      <w:pPr>
        <w:pStyle w:val="ListNumber"/>
      </w:pPr>
      <w:r>
        <w:rPr>
          <w:rFonts w:ascii="Rubik Regular" w:hAnsi="Rubik Regular"/>
          <w:sz w:val="24"/>
        </w:rPr>
        <w:t>Atlyginimų išmokėjimo tvarka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Atlyginimų išmokėjimo tvarka turėtų būti aiškiai apibrėžta:</w:t>
      </w:r>
    </w:p>
    <w:p>
      <w:pPr>
        <w:pStyle w:val="ListBullet"/>
      </w:pPr>
      <w:r>
        <w:rPr>
          <w:rFonts w:ascii="Rubik Regular" w:hAnsi="Rubik Regular"/>
          <w:sz w:val="24"/>
        </w:rPr>
        <w:t>: nurodykite datą, kada bus išmokami atlyginimai.</w:t>
      </w:r>
    </w:p>
    <w:p>
      <w:pPr>
        <w:pStyle w:val="ListBullet"/>
      </w:pPr>
      <w:r>
        <w:rPr>
          <w:rFonts w:ascii="Rubik Regular" w:hAnsi="Rubik Regular"/>
          <w:sz w:val="24"/>
        </w:rPr>
        <w:t>: nurodykite, kaip dažnai bus mokami atlyginimai (pvz., kas mėnesį, kas dvi savaites).</w:t>
      </w:r>
    </w:p>
    <w:p>
      <w:pPr>
        <w:pStyle w:val="ListNumber"/>
      </w:pPr>
      <w:r>
        <w:rPr>
          <w:rFonts w:ascii="Rubik Regular" w:hAnsi="Rubik Regular"/>
          <w:sz w:val="24"/>
        </w:rPr>
        <w:t>Dokumentacija ir ataskaitos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Darbo apmokėjimo sistema turi apimti dokumentacijos ir ataskaitų rengimą:</w:t>
      </w:r>
    </w:p>
    <w:p>
      <w:pPr>
        <w:pStyle w:val="ListBullet"/>
      </w:pPr>
      <w:r>
        <w:rPr>
          <w:rFonts w:ascii="Rubik Regular" w:hAnsi="Rubik Regular"/>
          <w:sz w:val="24"/>
        </w:rPr>
        <w:t>: paruoškite ataskaitą apie visus išmokėtus atlyginimus per tam tikrą laikotarpį.</w:t>
      </w:r>
    </w:p>
    <w:p>
      <w:pPr>
        <w:pStyle w:val="ListBullet"/>
      </w:pPr>
      <w:r>
        <w:rPr>
          <w:rFonts w:ascii="Rubik Regular" w:hAnsi="Rubik Regular"/>
          <w:sz w:val="24"/>
        </w:rPr>
        <w:t>: paruoškite ataskaitą apie sumokėtus mokesčius ir socialines įmokas.</w:t>
      </w:r>
    </w:p>
    <w:p>
      <w:pPr>
        <w:pStyle w:val="ListNumber"/>
      </w:pPr>
      <w:r>
        <w:rPr>
          <w:rFonts w:ascii="Rubik Regular" w:hAnsi="Rubik Regular"/>
          <w:sz w:val="24"/>
        </w:rPr>
        <w:t>Darbuotojų informavimas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Darbuotojai turi būti informuoti apie apmokėjimo sistemą:</w:t>
      </w:r>
    </w:p>
    <w:p>
      <w:pPr>
        <w:pStyle w:val="ListBullet"/>
      </w:pPr>
      <w:r>
        <w:rPr>
          <w:rFonts w:ascii="Rubik Regular" w:hAnsi="Rubik Regular"/>
          <w:sz w:val="24"/>
        </w:rPr>
        <w:t>: pasirinkite metodą, kaip informuosite darbuotojus (pvz., susirinkimai, el. paštas).</w:t>
      </w:r>
    </w:p>
    <w:p>
      <w:pPr>
        <w:pStyle w:val="ListBullet"/>
      </w:pPr>
      <w:r>
        <w:rPr>
          <w:rFonts w:ascii="Rubik Regular" w:hAnsi="Rubik Regular"/>
          <w:sz w:val="24"/>
        </w:rPr>
        <w:t>: nurodykite, kokią informaciją pateiksite darbuotojams apie apmokėjimo sistemą.</w:t>
      </w:r>
    </w:p>
    <w:p>
      <w:pPr>
        <w:pStyle w:val="ListNumber"/>
      </w:pPr>
      <w:r>
        <w:rPr>
          <w:rFonts w:ascii="Rubik Regular" w:hAnsi="Rubik Regular"/>
          <w:sz w:val="24"/>
        </w:rPr>
        <w:t>Apmokėjimo sistemos peržiūra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Apmokėjimo sistema turėtų būti reguliariai peržiūrima ir atnaujinama:</w:t>
      </w:r>
    </w:p>
    <w:p>
      <w:pPr>
        <w:pStyle w:val="ListBullet"/>
      </w:pPr>
      <w:r>
        <w:rPr>
          <w:rFonts w:ascii="Rubik Regular" w:hAnsi="Rubik Regular"/>
          <w:sz w:val="24"/>
        </w:rPr>
        <w:t>: nustatykite, kaip dažnai bus atliekama apmokėjimo sistemos peržiūra.</w:t>
      </w:r>
    </w:p>
    <w:p>
      <w:pPr>
        <w:pStyle w:val="ListBullet"/>
      </w:pPr>
      <w:r>
        <w:rPr>
          <w:rFonts w:ascii="Rubik Regular" w:hAnsi="Rubik Regular"/>
          <w:sz w:val="24"/>
        </w:rPr>
        <w:t>: nurodykite asmenį, atsakingą už apmokėjimo sistemos peržiūrą ir atnaujinimą.</w:t>
      </w:r>
    </w:p>
    <w:p>
      <w:pPr>
        <w:pStyle w:val="ListNumber"/>
      </w:pPr>
      <w:r>
        <w:rPr>
          <w:rFonts w:ascii="Rubik Regular" w:hAnsi="Rubik Regular"/>
          <w:sz w:val="24"/>
        </w:rPr>
        <w:t>Išvados</w:t>
      </w:r>
    </w:p>
    <w:p>
      <w:pPr>
        <w:spacing w:line="360" w:lineRule="auto"/>
      </w:pPr>
      <w:r>
        <w:rPr>
          <w:rFonts w:ascii="Rubik Regular" w:hAnsi="Rubik Regular"/>
          <w:sz w:val="24"/>
        </w:rPr>
        <w:t>Teisinga ir aiški darbo apmokėjimo sistema yra būtina norint užtikrinti darbuotojų pasitenkinimą ir motyvaciją. Šis pavyzdys gali būti pritaikytas pagal konkrečius organizacijos poreikius ir reikalavimus.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