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apmokėjimo sistema 2024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darbo apmokėjimo sistemos pavyzdys, skirtas , registruotai .</w:t>
      </w:r>
    </w:p>
    <w:p>
      <w:pPr>
        <w:pStyle w:val="ListNumber"/>
      </w:pPr>
      <w:r>
        <w:rPr>
          <w:rFonts w:ascii="Rubik Regular" w:hAnsi="Rubik Regular"/>
          <w:sz w:val="24"/>
        </w:rPr>
        <w:t>Apmokėjimo struktūra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Darbuotojų atlyginimai bus nustatyti pagal šiuos kriterijus:</w:t>
      </w:r>
    </w:p>
    <w:p>
      <w:pPr>
        <w:pStyle w:val="ListBullet"/>
      </w:pPr>
      <w:r>
        <w:rPr>
          <w:rFonts w:ascii="Rubik Regular" w:hAnsi="Rubik Regular"/>
          <w:sz w:val="24"/>
        </w:rPr>
        <w:t xml:space="preserve"> EUR</w:t>
      </w:r>
    </w:p>
    <w:p>
      <w:pPr>
        <w:pStyle w:val="ListBullet"/>
      </w:pPr>
      <w:r>
        <w:rPr>
          <w:rFonts w:ascii="Rubik Regular" w:hAnsi="Rubik Regular"/>
          <w:sz w:val="24"/>
        </w:rPr>
        <w:t xml:space="preserve"> EUR</w:t>
      </w:r>
    </w:p>
    <w:p>
      <w:pPr>
        <w:pStyle w:val="ListNumber"/>
      </w:pPr>
      <w:r>
        <w:rPr>
          <w:rFonts w:ascii="Rubik Regular" w:hAnsi="Rubik Regular"/>
          <w:sz w:val="24"/>
        </w:rPr>
        <w:t>Priklausomybės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Darbuotojams bus taikomos šios priklausomybės:</w:t>
      </w:r>
    </w:p>
    <w:p>
      <w:pPr>
        <w:pStyle w:val="ListBullet"/>
      </w:pPr>
      <w:r>
        <w:rPr>
          <w:rFonts w:ascii="Rubik Regular" w:hAnsi="Rubik Regular"/>
          <w:sz w:val="24"/>
        </w:rPr>
        <w:t xml:space="preserve"> EUR</w:t>
      </w:r>
    </w:p>
    <w:p>
      <w:pPr>
        <w:pStyle w:val="ListBullet"/>
      </w:pPr>
      <w:r>
        <w:rPr>
          <w:rFonts w:ascii="Rubik Regular" w:hAnsi="Rubik Regular"/>
          <w:sz w:val="24"/>
        </w:rPr>
        <w:t xml:space="preserve"> EUR</w:t>
      </w:r>
    </w:p>
    <w:p>
      <w:pPr>
        <w:pStyle w:val="ListNumber"/>
      </w:pPr>
      <w:r>
        <w:rPr>
          <w:rFonts w:ascii="Rubik Regular" w:hAnsi="Rubik Regular"/>
          <w:sz w:val="24"/>
        </w:rPr>
        <w:t>Atlyginimo mokėjimo terminai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Atlyginimas bus mokamas  kiekvieną mėnesį.</w:t>
      </w:r>
    </w:p>
    <w:p>
      <w:pPr>
        <w:pStyle w:val="ListNumber"/>
      </w:pPr>
      <w:r>
        <w:rPr>
          <w:rFonts w:ascii="Rubik Regular" w:hAnsi="Rubik Regular"/>
          <w:sz w:val="24"/>
        </w:rPr>
        <w:t>Papildomos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Papildomos sąlygos gali būti nustatytos pagal .</w:t>
      </w:r>
    </w:p>
    <w:p>
      <w:pPr>
        <w:pStyle w:val="ListNumber"/>
      </w:pPr>
      <w:r>
        <w:rPr>
          <w:rFonts w:ascii="Rubik Regular" w:hAnsi="Rubik Regular"/>
          <w:sz w:val="24"/>
        </w:rPr>
        <w:t>Dokumento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įsigalioja nuo  ir galioja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Patvirtinimas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patvirtintas , ,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